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0B" w:rsidRPr="0098180B" w:rsidRDefault="0098180B" w:rsidP="0098180B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bookmarkStart w:id="0" w:name="_GoBack"/>
      <w:bookmarkEnd w:id="0"/>
      <w:r w:rsidRPr="0098180B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98180B" w:rsidRPr="0098180B" w:rsidRDefault="0098180B" w:rsidP="0098180B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98180B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98180B" w:rsidRPr="0098180B" w:rsidRDefault="0098180B" w:rsidP="0098180B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1. Общие положения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2. Цели и задачи проведения Конкурса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2.2. Задачи Конкурса: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антикоррупционное просвещение населения;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формирование нетерпимого отношения в обществе всех стран к любым коррупционным проявлениям;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3. Условия участия, конкурсные номинации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3.1. К участию в Конкурсе приглашаются: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 Конкурс проводится в следующих номинациях:</w:t>
      </w:r>
    </w:p>
    <w:p w:rsidR="0098180B" w:rsidRPr="0098180B" w:rsidRDefault="0098180B" w:rsidP="0098180B">
      <w:pPr>
        <w:numPr>
          <w:ilvl w:val="0"/>
          <w:numId w:val="9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плакат;</w:t>
      </w:r>
    </w:p>
    <w:p w:rsidR="0098180B" w:rsidRPr="0098180B" w:rsidRDefault="0098180B" w:rsidP="0098180B">
      <w:pPr>
        <w:numPr>
          <w:ilvl w:val="0"/>
          <w:numId w:val="9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видеоролик.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3.2.2. Дополнительные номинации: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Организаторы оставляют за собой право учреждения дополнительных номинаций.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4. Порядок и сроки проведения Конкурса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два этапа: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Первый этап – полуфинал (2 июля – 12 ноября 2018 г.)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5" w:history="1">
        <w:r w:rsidRPr="0098180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http://anticorruption.life.</w:t>
        </w:r>
      </w:hyperlink>
    </w:p>
    <w:p w:rsidR="0098180B" w:rsidRPr="0098180B" w:rsidRDefault="0098180B" w:rsidP="0098180B">
      <w:pPr>
        <w:numPr>
          <w:ilvl w:val="0"/>
          <w:numId w:val="10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98180B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с 10:00 (время московское) 2 июля 2018 г.</w:t>
      </w:r>
    </w:p>
    <w:p w:rsidR="0098180B" w:rsidRPr="0098180B" w:rsidRDefault="0098180B" w:rsidP="0098180B">
      <w:pPr>
        <w:numPr>
          <w:ilvl w:val="0"/>
          <w:numId w:val="10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98180B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17:00 (время московское) 19 октября 2018 г.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98180B" w:rsidRPr="0098180B" w:rsidRDefault="0098180B" w:rsidP="0098180B">
      <w:pPr>
        <w:numPr>
          <w:ilvl w:val="0"/>
          <w:numId w:val="11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98180B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12 – 13 ноября 2018 г.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Второй этап – финал (13 ноября – 23 ноября 2018 г.)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 xml:space="preserve">5. </w:t>
      </w:r>
      <w:r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 xml:space="preserve">Регистрация участия в Конкурсе, </w:t>
      </w: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требования к конкурсным работам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 Регистрация.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98180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5.2. Технические требования к Конкурсным работам и количественные ограничения:</w:t>
      </w:r>
    </w:p>
    <w:p w:rsidR="0098180B" w:rsidRPr="0098180B" w:rsidRDefault="0098180B" w:rsidP="0098180B">
      <w:pPr>
        <w:numPr>
          <w:ilvl w:val="0"/>
          <w:numId w:val="12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lastRenderedPageBreak/>
        <w:t>Номинация «Лучший видеоролик»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mpeg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4, разрешение не более 1920 х 1080р, физический размер файла не более 300 Мб.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Длительность: не более 120 сек.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Звук: 16 бит, стерео.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98180B" w:rsidRPr="0098180B" w:rsidRDefault="0098180B" w:rsidP="0098180B">
      <w:pPr>
        <w:numPr>
          <w:ilvl w:val="0"/>
          <w:numId w:val="12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Номинация «Лучший плакат»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mm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) с корректным соотношением сторон и разрешением 300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dpi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 Физический размер одного файла не более 15 Мб.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5.3. Ограничения.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98180B" w:rsidRPr="0098180B" w:rsidRDefault="0098180B" w:rsidP="0098180B">
      <w:pPr>
        <w:numPr>
          <w:ilvl w:val="0"/>
          <w:numId w:val="13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98180B" w:rsidRPr="0098180B" w:rsidRDefault="0098180B" w:rsidP="0098180B">
      <w:pPr>
        <w:numPr>
          <w:ilvl w:val="0"/>
          <w:numId w:val="13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98180B" w:rsidRPr="0098180B" w:rsidRDefault="0098180B" w:rsidP="0098180B">
      <w:pPr>
        <w:numPr>
          <w:ilvl w:val="0"/>
          <w:numId w:val="13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98180B" w:rsidRPr="0098180B" w:rsidRDefault="0098180B" w:rsidP="0098180B">
      <w:pPr>
        <w:numPr>
          <w:ilvl w:val="0"/>
          <w:numId w:val="13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6. Жюри международного конкурса, </w:t>
      </w: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национальные конкурсные комиссии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6.2. В состав Жюри входят представители: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Республики Армения;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Республики Беларусь;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Кыргызской Республики;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Российской Федерации;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органов государственной власти;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-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институтов гражданского общества, средств массовой информации.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 Рассмотрение Конкурсных работ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98180B" w:rsidRPr="0098180B" w:rsidRDefault="0098180B" w:rsidP="0098180B">
      <w:pPr>
        <w:numPr>
          <w:ilvl w:val="0"/>
          <w:numId w:val="14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98180B" w:rsidRPr="0098180B" w:rsidRDefault="0098180B" w:rsidP="0098180B">
      <w:pPr>
        <w:numPr>
          <w:ilvl w:val="0"/>
          <w:numId w:val="14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98180B" w:rsidRPr="0098180B" w:rsidRDefault="0098180B" w:rsidP="0098180B">
      <w:pPr>
        <w:numPr>
          <w:ilvl w:val="0"/>
          <w:numId w:val="14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креативность, новизна идеи и качество исполнения работы;</w:t>
      </w:r>
    </w:p>
    <w:p w:rsidR="0098180B" w:rsidRPr="0098180B" w:rsidRDefault="0098180B" w:rsidP="0098180B">
      <w:pPr>
        <w:numPr>
          <w:ilvl w:val="0"/>
          <w:numId w:val="14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7.5. На этапе полуфинала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98180B" w:rsidRPr="0098180B" w:rsidRDefault="0098180B" w:rsidP="0098180B">
      <w:pPr>
        <w:numPr>
          <w:ilvl w:val="0"/>
          <w:numId w:val="15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98180B" w:rsidRPr="0098180B" w:rsidRDefault="0098180B" w:rsidP="0098180B">
      <w:pPr>
        <w:numPr>
          <w:ilvl w:val="0"/>
          <w:numId w:val="15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7.6. Работы победителей полуфинала, занявшие I место в соответствующей номинации направляются для участия в финале.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7.7. </w:t>
      </w: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На этапе финала</w:t>
      </w: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98180B" w:rsidRPr="0098180B" w:rsidRDefault="0098180B" w:rsidP="0098180B">
      <w:pPr>
        <w:numPr>
          <w:ilvl w:val="0"/>
          <w:numId w:val="16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Конкурса в соответствующей номинации;</w:t>
      </w:r>
    </w:p>
    <w:p w:rsidR="0098180B" w:rsidRPr="0098180B" w:rsidRDefault="0098180B" w:rsidP="0098180B">
      <w:pPr>
        <w:numPr>
          <w:ilvl w:val="0"/>
          <w:numId w:val="16"/>
        </w:numPr>
        <w:spacing w:before="150" w:after="150" w:line="300" w:lineRule="atLeast"/>
        <w:ind w:left="0" w:firstLine="709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Конкурса в соответствующей номинации.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8. Награждение победителей и призеров Конкурса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98180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9. Интеллектуальные права на Конкурсные работы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9.2. Участник Конкурса предоставляет Организатору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Участник Конкурса предоставляет Организатору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Организатор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9.3. Участник гарантирует, что предоставление Лицензии не нарушает права и интересы третьих лиц.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9.4. Организатор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предоставлять лицензию третьим лицам (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сублицензирование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).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9.5. Организатор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не предоставлять отчеты об использовании Конкурсных работ.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9.6. Участник Конкурса разрешает Организатору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9.7. Участник Конкурса разрешает Организатору и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10. Дополнительные положения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10.2. Отношения Организатора,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98180B" w:rsidRPr="0098180B" w:rsidRDefault="0098180B" w:rsidP="0098180B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98180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98180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98180B" w:rsidRDefault="0098180B" w:rsidP="009818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0B" w:rsidRDefault="0098180B" w:rsidP="009818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0B" w:rsidRDefault="0098180B" w:rsidP="009818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0B" w:rsidRDefault="0098180B" w:rsidP="009818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8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C50"/>
    <w:multiLevelType w:val="multilevel"/>
    <w:tmpl w:val="B04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B34B5"/>
    <w:multiLevelType w:val="multilevel"/>
    <w:tmpl w:val="6E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D1791"/>
    <w:multiLevelType w:val="multilevel"/>
    <w:tmpl w:val="9A5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4381F"/>
    <w:multiLevelType w:val="multilevel"/>
    <w:tmpl w:val="572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52C1"/>
    <w:multiLevelType w:val="multilevel"/>
    <w:tmpl w:val="E2C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162DD"/>
    <w:multiLevelType w:val="multilevel"/>
    <w:tmpl w:val="19CC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C07C0"/>
    <w:multiLevelType w:val="multilevel"/>
    <w:tmpl w:val="E78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002EF"/>
    <w:multiLevelType w:val="multilevel"/>
    <w:tmpl w:val="8A34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63FE4"/>
    <w:multiLevelType w:val="multilevel"/>
    <w:tmpl w:val="A5C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3707F"/>
    <w:multiLevelType w:val="multilevel"/>
    <w:tmpl w:val="0D3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D114E"/>
    <w:multiLevelType w:val="multilevel"/>
    <w:tmpl w:val="433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A39BC"/>
    <w:multiLevelType w:val="multilevel"/>
    <w:tmpl w:val="310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67BFF"/>
    <w:multiLevelType w:val="multilevel"/>
    <w:tmpl w:val="634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567B5"/>
    <w:multiLevelType w:val="multilevel"/>
    <w:tmpl w:val="BE2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85AB2"/>
    <w:multiLevelType w:val="multilevel"/>
    <w:tmpl w:val="336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844B9"/>
    <w:multiLevelType w:val="multilevel"/>
    <w:tmpl w:val="46A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75"/>
    <w:rsid w:val="0013717A"/>
    <w:rsid w:val="00487F75"/>
    <w:rsid w:val="004B1690"/>
    <w:rsid w:val="007949AD"/>
    <w:rsid w:val="008568D1"/>
    <w:rsid w:val="009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C482-AD9B-4EBD-B27B-D72277D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80B"/>
    <w:rPr>
      <w:b/>
      <w:bCs/>
    </w:rPr>
  </w:style>
  <w:style w:type="character" w:styleId="a5">
    <w:name w:val="Hyperlink"/>
    <w:basedOn w:val="a0"/>
    <w:uiPriority w:val="99"/>
    <w:semiHidden/>
    <w:unhideWhenUsed/>
    <w:rsid w:val="0098180B"/>
    <w:rPr>
      <w:color w:val="0000FF"/>
      <w:u w:val="single"/>
    </w:rPr>
  </w:style>
  <w:style w:type="paragraph" w:styleId="a6">
    <w:name w:val="No Spacing"/>
    <w:uiPriority w:val="1"/>
    <w:qFormat/>
    <w:rsid w:val="009818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193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Клочкова Виктория Андреевна</cp:lastModifiedBy>
  <cp:revision>3</cp:revision>
  <dcterms:created xsi:type="dcterms:W3CDTF">2018-05-21T15:28:00Z</dcterms:created>
  <dcterms:modified xsi:type="dcterms:W3CDTF">2018-05-23T02:55:00Z</dcterms:modified>
</cp:coreProperties>
</file>